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jc w:val="center"/>
        <w:rPr>
          <w:rFonts w:hint="default" w:ascii="宋体" w:hAnsi="宋体" w:eastAsia="宋体" w:cs="宋体"/>
          <w:bCs/>
          <w:sz w:val="32"/>
          <w:u w:val="single"/>
          <w:lang w:val="en-US" w:eastAsia="zh-CN"/>
        </w:rPr>
      </w:pPr>
      <w:r>
        <w:rPr>
          <w:rFonts w:hint="eastAsia" w:ascii="宋体" w:hAnsi="宋体" w:cs="宋体"/>
          <w:bCs/>
          <w:sz w:val="32"/>
          <w:lang w:val="zh-CN"/>
        </w:rPr>
        <w:t>市自然资源和规划局业务审查会纪要〔</w:t>
      </w:r>
      <w:r>
        <w:rPr>
          <w:rFonts w:hint="eastAsia" w:ascii="宋体" w:hAnsi="宋体" w:cs="宋体"/>
          <w:bCs/>
          <w:sz w:val="32"/>
          <w:lang w:val="en-US" w:eastAsia="zh-CN"/>
        </w:rPr>
        <w:t>2021</w:t>
      </w:r>
      <w:r>
        <w:rPr>
          <w:rFonts w:hint="eastAsia" w:ascii="宋体" w:hAnsi="宋体" w:cs="宋体"/>
          <w:bCs/>
          <w:sz w:val="32"/>
          <w:lang w:val="zh-CN"/>
        </w:rPr>
        <w:t>〕</w:t>
      </w:r>
      <w:r>
        <w:rPr>
          <w:rFonts w:hint="eastAsia" w:ascii="宋体" w:hAnsi="宋体" w:cs="宋体"/>
          <w:bCs/>
          <w:sz w:val="32"/>
          <w:lang w:val="en-US" w:eastAsia="zh-CN"/>
        </w:rPr>
        <w:t>11</w:t>
      </w:r>
      <w:r>
        <w:rPr>
          <w:rFonts w:hint="eastAsia" w:ascii="宋体" w:hAnsi="宋体" w:cs="宋体"/>
          <w:bCs/>
          <w:sz w:val="32"/>
        </w:rPr>
        <w:t>号  附件</w:t>
      </w:r>
      <w:r>
        <w:rPr>
          <w:rFonts w:hint="eastAsia" w:ascii="宋体" w:hAnsi="宋体" w:cs="宋体"/>
          <w:bCs/>
          <w:sz w:val="32"/>
          <w:lang w:val="en-US" w:eastAsia="zh-CN"/>
        </w:rPr>
        <w:t>13</w:t>
      </w:r>
    </w:p>
    <w:p>
      <w:pPr>
        <w:autoSpaceDE w:val="0"/>
        <w:autoSpaceDN w:val="0"/>
        <w:rPr>
          <w:rFonts w:ascii="黑体" w:hAnsi="黑体" w:eastAsia="黑体" w:cs="黑体"/>
          <w:b/>
          <w:kern w:val="0"/>
          <w:sz w:val="44"/>
          <w:szCs w:val="44"/>
        </w:rPr>
      </w:pPr>
    </w:p>
    <w:p>
      <w:pPr>
        <w:autoSpaceDE w:val="0"/>
        <w:autoSpaceDN w:val="0"/>
        <w:rPr>
          <w:rFonts w:ascii="黑体" w:hAnsi="黑体" w:eastAsia="黑体" w:cs="黑体"/>
          <w:b/>
          <w:kern w:val="0"/>
          <w:sz w:val="44"/>
          <w:szCs w:val="44"/>
        </w:rPr>
      </w:pPr>
    </w:p>
    <w:p>
      <w:pPr>
        <w:autoSpaceDE w:val="0"/>
        <w:autoSpaceDN w:val="0"/>
        <w:ind w:firstLine="640" w:firstLineChars="200"/>
        <w:rPr>
          <w:rFonts w:ascii="仿宋_GB2312" w:hAnsi="仿宋_GB2312" w:eastAsia="仿宋_GB2312"/>
          <w:sz w:val="32"/>
          <w:szCs w:val="32"/>
        </w:rPr>
      </w:pPr>
    </w:p>
    <w:p>
      <w:pPr>
        <w:autoSpaceDE w:val="0"/>
        <w:autoSpaceDN w:val="0"/>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开源路与黄河路交叉口东南角A03、B02地块</w:t>
      </w:r>
    </w:p>
    <w:p>
      <w:pPr>
        <w:autoSpaceDE w:val="0"/>
        <w:autoSpaceDN w:val="0"/>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(花畔里小区A03、建昌城市花园二期B02地块）</w:t>
      </w:r>
    </w:p>
    <w:p>
      <w:pPr>
        <w:autoSpaceDE w:val="0"/>
        <w:autoSpaceDN w:val="0"/>
        <w:jc w:val="center"/>
        <w:rPr>
          <w:rFonts w:hint="default" w:ascii="黑体" w:hAnsi="黑体" w:eastAsia="黑体" w:cs="黑体"/>
          <w:sz w:val="36"/>
          <w:szCs w:val="36"/>
          <w:lang w:val="en-US"/>
        </w:rPr>
      </w:pPr>
      <w:r>
        <w:rPr>
          <w:rFonts w:hint="eastAsia" w:ascii="黑体" w:hAnsi="黑体" w:eastAsia="黑体" w:cs="黑体"/>
          <w:sz w:val="36"/>
          <w:szCs w:val="36"/>
          <w:lang w:val="en-US" w:eastAsia="zh-CN"/>
        </w:rPr>
        <w:t>修建性详细规划优化</w:t>
      </w: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rPr>
          <w:rFonts w:ascii="仿宋_GB2312" w:hAnsi="仿宋_GB2312" w:eastAsia="仿宋_GB2312"/>
          <w:sz w:val="32"/>
          <w:szCs w:val="32"/>
        </w:rPr>
      </w:pPr>
    </w:p>
    <w:p>
      <w:pPr>
        <w:autoSpaceDE w:val="0"/>
        <w:autoSpaceDN w:val="0"/>
        <w:rPr>
          <w:rFonts w:ascii="仿宋_GB2312" w:hAnsi="仿宋_GB2312" w:eastAsia="仿宋_GB2312"/>
          <w:sz w:val="32"/>
          <w:szCs w:val="32"/>
        </w:rPr>
      </w:pPr>
    </w:p>
    <w:p>
      <w:pPr>
        <w:autoSpaceDE w:val="0"/>
        <w:autoSpaceDN w:val="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rPr>
          <w:rFonts w:ascii="仿宋_GB2312" w:hAnsi="仿宋_GB2312" w:eastAsia="仿宋_GB2312"/>
          <w:sz w:val="32"/>
          <w:szCs w:val="32"/>
        </w:rPr>
      </w:pPr>
    </w:p>
    <w:p>
      <w:pPr>
        <w:autoSpaceDE w:val="0"/>
        <w:autoSpaceDN w:val="0"/>
        <w:ind w:firstLine="640" w:firstLineChars="200"/>
        <w:jc w:val="center"/>
        <w:rPr>
          <w:rFonts w:ascii="仿宋_GB2312" w:hAnsi="仿宋_GB2312" w:eastAsia="仿宋_GB2312"/>
          <w:b/>
          <w:sz w:val="32"/>
        </w:rPr>
      </w:pPr>
      <w:r>
        <w:rPr>
          <w:rFonts w:hint="eastAsia" w:ascii="宋体" w:hAnsi="宋体" w:cs="宋体"/>
          <w:sz w:val="32"/>
          <w:lang w:val="en-US" w:eastAsia="zh-CN"/>
        </w:rPr>
        <w:t>2021</w:t>
      </w:r>
      <w:r>
        <w:rPr>
          <w:rFonts w:hint="eastAsia" w:ascii="宋体" w:hAnsi="宋体" w:cs="宋体"/>
          <w:sz w:val="32"/>
        </w:rPr>
        <w:t>年</w:t>
      </w:r>
      <w:r>
        <w:rPr>
          <w:rFonts w:hint="eastAsia" w:ascii="宋体" w:hAnsi="宋体" w:cs="宋体"/>
          <w:sz w:val="32"/>
          <w:lang w:val="en-US" w:eastAsia="zh-CN"/>
        </w:rPr>
        <w:t>11</w:t>
      </w:r>
      <w:r>
        <w:rPr>
          <w:rFonts w:hint="eastAsia" w:ascii="宋体" w:hAnsi="宋体" w:cs="宋体"/>
          <w:sz w:val="32"/>
        </w:rPr>
        <w:t>月</w:t>
      </w:r>
      <w:r>
        <w:rPr>
          <w:rFonts w:hint="eastAsia" w:ascii="宋体" w:hAnsi="宋体" w:cs="宋体"/>
          <w:sz w:val="32"/>
          <w:lang w:val="en-US" w:eastAsia="zh-CN"/>
        </w:rPr>
        <w:t>3</w:t>
      </w:r>
      <w:r>
        <w:rPr>
          <w:rFonts w:hint="eastAsia" w:ascii="宋体" w:hAnsi="宋体" w:cs="宋体"/>
          <w:sz w:val="32"/>
        </w:rPr>
        <w:t>日</w:t>
      </w:r>
    </w:p>
    <w:p>
      <w:pPr>
        <w:autoSpaceDE w:val="0"/>
        <w:autoSpaceDN w:val="0"/>
        <w:ind w:firstLine="643" w:firstLineChars="200"/>
        <w:rPr>
          <w:rFonts w:ascii="仿宋_GB2312" w:hAnsi="仿宋_GB2312" w:eastAsia="仿宋_GB2312"/>
          <w:b/>
          <w:sz w:val="32"/>
        </w:rPr>
      </w:pPr>
    </w:p>
    <w:p>
      <w:pPr>
        <w:autoSpaceDE w:val="0"/>
        <w:autoSpaceDN w:val="0"/>
        <w:rPr>
          <w:rFonts w:ascii="仿宋_GB2312" w:eastAsia="仿宋_GB2312"/>
          <w:spacing w:val="6"/>
          <w:kern w:val="0"/>
          <w:sz w:val="32"/>
          <w:szCs w:val="32"/>
        </w:rPr>
        <w:sectPr>
          <w:pgSz w:w="11906" w:h="16838"/>
          <w:pgMar w:top="1440" w:right="1800" w:bottom="1440" w:left="1800" w:header="851" w:footer="992" w:gutter="0"/>
          <w:pgNumType w:start="0"/>
          <w:cols w:space="720" w:num="1"/>
          <w:docGrid w:type="lines" w:linePitch="312" w:charSpace="0"/>
        </w:sectPr>
      </w:pPr>
    </w:p>
    <w:p>
      <w:pPr>
        <w:autoSpaceDE w:val="0"/>
        <w:autoSpaceDN w:val="0"/>
        <w:ind w:firstLine="640" w:firstLineChars="200"/>
        <w:jc w:val="left"/>
        <w:rPr>
          <w:rFonts w:hint="default" w:ascii="仿宋_GB2312" w:hAnsi="仿宋_GB2312" w:eastAsia="仿宋_GB2312"/>
          <w:sz w:val="32"/>
          <w:lang w:val="en-US" w:eastAsia="zh-CN"/>
        </w:rPr>
      </w:pPr>
      <w:r>
        <w:rPr>
          <w:rFonts w:hint="eastAsia" w:ascii="仿宋_GB2312" w:hAnsi="仿宋_GB2312" w:eastAsia="仿宋_GB2312"/>
          <w:sz w:val="32"/>
        </w:rPr>
        <w:t>平顶山市</w:t>
      </w:r>
      <w:r>
        <w:rPr>
          <w:rFonts w:hint="eastAsia" w:ascii="仿宋_GB2312" w:hAnsi="仿宋_GB2312" w:eastAsia="仿宋_GB2312"/>
          <w:sz w:val="32"/>
          <w:lang w:eastAsia="zh-CN"/>
        </w:rPr>
        <w:t>自然资源和</w:t>
      </w:r>
      <w:r>
        <w:rPr>
          <w:rFonts w:hint="eastAsia" w:ascii="仿宋_GB2312" w:hAnsi="仿宋_GB2312" w:eastAsia="仿宋_GB2312"/>
          <w:sz w:val="32"/>
        </w:rPr>
        <w:t>规划局</w:t>
      </w:r>
      <w:r>
        <w:rPr>
          <w:rFonts w:hint="eastAsia" w:ascii="仿宋_GB2312" w:hAnsi="仿宋_GB2312" w:eastAsia="仿宋_GB2312"/>
          <w:sz w:val="32"/>
          <w:lang w:val="en-US" w:eastAsia="zh-CN"/>
        </w:rPr>
        <w:t xml:space="preserve"> 2021</w:t>
      </w:r>
      <w:r>
        <w:rPr>
          <w:rFonts w:hint="eastAsia" w:ascii="仿宋_GB2312" w:hAnsi="仿宋_GB2312" w:eastAsia="仿宋_GB2312"/>
          <w:sz w:val="32"/>
        </w:rPr>
        <w:t>年第</w:t>
      </w:r>
      <w:r>
        <w:rPr>
          <w:rFonts w:hint="eastAsia" w:ascii="仿宋_GB2312" w:hAnsi="仿宋_GB2312" w:eastAsia="仿宋_GB2312"/>
          <w:sz w:val="32"/>
          <w:lang w:val="en-US" w:eastAsia="zh-CN"/>
        </w:rPr>
        <w:t>十一</w:t>
      </w:r>
      <w:r>
        <w:rPr>
          <w:rFonts w:hint="eastAsia" w:ascii="仿宋_GB2312" w:hAnsi="仿宋_GB2312" w:eastAsia="仿宋_GB2312"/>
          <w:sz w:val="32"/>
        </w:rPr>
        <w:t>次业务审查会原则通过了</w:t>
      </w:r>
      <w:r>
        <w:rPr>
          <w:rFonts w:hint="eastAsia" w:ascii="仿宋_GB2312" w:hAnsi="仿宋_GB2312" w:eastAsia="仿宋_GB2312"/>
          <w:sz w:val="32"/>
          <w:lang w:val="en-US" w:eastAsia="zh-CN"/>
        </w:rPr>
        <w:t>开源路与黄河路交叉口东南角A03、B02地块(花畔里小区A03、建昌城市花园二期B02地块）修建性详细规划优化。</w:t>
      </w:r>
    </w:p>
    <w:p>
      <w:pPr>
        <w:autoSpaceDE w:val="0"/>
        <w:autoSpaceDN w:val="0"/>
        <w:ind w:firstLine="640" w:firstLineChars="200"/>
        <w:rPr>
          <w:rFonts w:hint="eastAsia" w:ascii="黑体" w:hAnsi="黑体" w:eastAsia="黑体" w:cs="黑体"/>
          <w:sz w:val="32"/>
        </w:rPr>
      </w:pPr>
      <w:r>
        <w:rPr>
          <w:rFonts w:hint="eastAsia" w:ascii="黑体" w:hAnsi="黑体" w:eastAsia="黑体" w:cs="黑体"/>
          <w:sz w:val="32"/>
        </w:rPr>
        <w:t>一、项目位置</w:t>
      </w:r>
    </w:p>
    <w:p>
      <w:pPr>
        <w:autoSpaceDE w:val="0"/>
        <w:autoSpaceDN w:val="0"/>
        <w:ind w:firstLine="640" w:firstLineChars="200"/>
        <w:rPr>
          <w:rFonts w:hint="eastAsia" w:ascii="仿宋_GB2312" w:hAnsi="仿宋_GB2312" w:eastAsia="仿宋_GB2312"/>
          <w:sz w:val="32"/>
          <w:lang w:val="en-US" w:eastAsia="zh-CN"/>
        </w:rPr>
      </w:pPr>
      <w:r>
        <w:rPr>
          <w:rFonts w:hint="eastAsia" w:ascii="仿宋_GB2312" w:hAnsi="仿宋_GB2312" w:eastAsia="仿宋_GB2312"/>
          <w:sz w:val="32"/>
        </w:rPr>
        <w:t>该项目位于</w:t>
      </w:r>
      <w:r>
        <w:rPr>
          <w:rFonts w:hint="eastAsia" w:ascii="仿宋_GB2312" w:hAnsi="仿宋_GB2312" w:eastAsia="仿宋_GB2312"/>
          <w:sz w:val="32"/>
          <w:lang w:val="en-US" w:eastAsia="zh-CN"/>
        </w:rPr>
        <w:t>黄河路</w:t>
      </w:r>
      <w:r>
        <w:rPr>
          <w:rFonts w:hint="eastAsia" w:ascii="仿宋_GB2312" w:hAnsi="仿宋_GB2312" w:eastAsia="仿宋_GB2312"/>
          <w:sz w:val="32"/>
          <w:lang w:eastAsia="zh-CN"/>
        </w:rPr>
        <w:t>以南，城乡路以西，</w:t>
      </w:r>
      <w:r>
        <w:rPr>
          <w:rFonts w:hint="eastAsia" w:ascii="仿宋_GB2312" w:hAnsi="仿宋_GB2312" w:eastAsia="仿宋_GB2312"/>
          <w:sz w:val="32"/>
          <w:lang w:val="en-US" w:eastAsia="zh-CN"/>
        </w:rPr>
        <w:t>规划二号路以东。</w:t>
      </w:r>
    </w:p>
    <w:p>
      <w:pPr>
        <w:autoSpaceDE w:val="0"/>
        <w:autoSpaceDN w:val="0"/>
        <w:ind w:firstLine="640" w:firstLineChars="200"/>
        <w:rPr>
          <w:rFonts w:hint="default" w:ascii="黑体" w:hAnsi="黑体" w:eastAsia="黑体" w:cs="黑体"/>
          <w:sz w:val="32"/>
          <w:szCs w:val="22"/>
          <w:lang w:val="en-US" w:eastAsia="zh-CN"/>
        </w:rPr>
      </w:pPr>
      <w:r>
        <w:rPr>
          <w:rFonts w:hint="eastAsia" w:ascii="黑体" w:hAnsi="黑体" w:eastAsia="黑体" w:cs="黑体"/>
          <w:sz w:val="32"/>
          <w:szCs w:val="22"/>
        </w:rPr>
        <w:t>二、</w:t>
      </w:r>
      <w:r>
        <w:rPr>
          <w:rFonts w:hint="eastAsia" w:ascii="黑体" w:hAnsi="黑体" w:eastAsia="黑体" w:cs="黑体"/>
          <w:sz w:val="32"/>
          <w:szCs w:val="22"/>
          <w:lang w:val="en-US" w:eastAsia="zh-CN"/>
        </w:rPr>
        <w:t>优化背景及内容</w:t>
      </w:r>
    </w:p>
    <w:p>
      <w:pPr>
        <w:autoSpaceDE w:val="0"/>
        <w:autoSpaceDN w:val="0"/>
        <w:ind w:firstLine="640" w:firstLineChars="200"/>
        <w:jc w:val="left"/>
        <w:rPr>
          <w:rFonts w:hint="default" w:ascii="仿宋_GB2312" w:hAnsi="仿宋_GB2312" w:eastAsia="仿宋_GB2312"/>
          <w:sz w:val="32"/>
          <w:lang w:val="en-US" w:eastAsia="zh-CN"/>
        </w:rPr>
      </w:pPr>
      <w:r>
        <w:rPr>
          <w:rFonts w:hint="eastAsia" w:ascii="仿宋_GB2312" w:hAnsi="仿宋_GB2312" w:eastAsia="仿宋_GB2312"/>
          <w:sz w:val="32"/>
        </w:rPr>
        <w:t>（一）</w:t>
      </w:r>
      <w:r>
        <w:rPr>
          <w:rFonts w:hint="eastAsia" w:ascii="仿宋_GB2312" w:hAnsi="仿宋_GB2312" w:eastAsia="仿宋_GB2312"/>
          <w:sz w:val="32"/>
          <w:lang w:val="en-US" w:eastAsia="zh-CN"/>
        </w:rPr>
        <w:t>因项目实际情况，开源路与黄河路交叉口东南角A03、B02地块分别由平顶山盛世花畔里置业有限公司和平顶山市中房新程置业有限责任公司取得，故本项目名称优化为开源路与黄河路交叉口东南角A03、B02地块(花畔里小区A03、建昌城市花园二期B02地块）修建性详细规划。</w:t>
      </w:r>
    </w:p>
    <w:p>
      <w:pPr>
        <w:autoSpaceDE w:val="0"/>
        <w:autoSpaceDN w:val="0"/>
        <w:ind w:firstLine="640" w:firstLineChars="200"/>
        <w:jc w:val="left"/>
        <w:rPr>
          <w:rFonts w:hint="eastAsia" w:ascii="仿宋_GB2312" w:hAnsi="仿宋_GB2312" w:eastAsia="仿宋_GB2312"/>
          <w:sz w:val="32"/>
          <w:lang w:val="en-US" w:eastAsia="zh-CN"/>
        </w:rPr>
      </w:pPr>
      <w:r>
        <w:rPr>
          <w:rFonts w:hint="eastAsia" w:ascii="仿宋_GB2312" w:hAnsi="仿宋_GB2312" w:eastAsia="仿宋_GB2312"/>
          <w:sz w:val="32"/>
        </w:rPr>
        <w:t>（</w:t>
      </w:r>
      <w:r>
        <w:rPr>
          <w:rFonts w:hint="eastAsia" w:ascii="仿宋_GB2312" w:hAnsi="仿宋_GB2312" w:eastAsia="仿宋_GB2312"/>
          <w:sz w:val="32"/>
          <w:lang w:val="en-US" w:eastAsia="zh-CN"/>
        </w:rPr>
        <w:t>二</w:t>
      </w:r>
      <w:r>
        <w:rPr>
          <w:rFonts w:hint="eastAsia" w:ascii="仿宋_GB2312" w:hAnsi="仿宋_GB2312" w:eastAsia="仿宋_GB2312"/>
          <w:sz w:val="32"/>
        </w:rPr>
        <w:t>）</w:t>
      </w:r>
      <w:r>
        <w:rPr>
          <w:rFonts w:hint="eastAsia" w:ascii="仿宋_GB2312" w:hAnsi="仿宋_GB2312" w:eastAsia="仿宋_GB2312"/>
          <w:sz w:val="32"/>
          <w:lang w:val="en-US" w:eastAsia="zh-CN"/>
        </w:rPr>
        <w:t>根据《河南省城镇新建住宅项目电力设施建设和管理办法》第八条、第十一条；《河南省城镇住宅电力设施建设技术规范》第6.1条，结合本次规划实际户数共计1522户，终期配变容量在5000千伏安以上，故本项目在8#楼东侧规划一栋地上2层开关站（所），基地面积155.62平方米，建筑面积为311.24平方米，并减少相应的商业建筑面积311.24平方米，基底面积155.62平方米，地上总建筑面积不变，基底面积不变。</w:t>
      </w:r>
    </w:p>
    <w:p>
      <w:pPr>
        <w:autoSpaceDE w:val="0"/>
        <w:autoSpaceDN w:val="0"/>
        <w:ind w:firstLine="640" w:firstLineChars="200"/>
        <w:jc w:val="left"/>
        <w:rPr>
          <w:rFonts w:hint="default" w:ascii="仿宋_GB2312" w:hAnsi="仿宋_GB2312" w:eastAsia="仿宋_GB2312"/>
          <w:sz w:val="32"/>
          <w:lang w:val="en-US" w:eastAsia="zh-CN"/>
        </w:rPr>
      </w:pPr>
      <w:r>
        <w:rPr>
          <w:rFonts w:hint="eastAsia" w:ascii="仿宋_GB2312" w:hAnsi="仿宋_GB2312" w:eastAsia="仿宋_GB2312"/>
          <w:sz w:val="32"/>
          <w:lang w:val="en-US" w:eastAsia="zh-CN"/>
        </w:rPr>
        <w:t>（三）建昌城市花园二期B02地块原规划地下室为地下一层，且全为机械停车位，考虑到机械停车位使用极为不便，且后期管理维护成本过高，故将建昌城市花园二期B02地块地下车库优化为局部二层，且将机械停车位改为平层停车位，总停车位数量不变，地上停车位由275辆减少为220辆，地下停车位由原来的1001辆增加为1056辆；地下建筑面积由原来的27315.22平方米，增加为36190.90平方米，其中地下一层27468.05平方米，地下二层8722.85平方米。</w:t>
      </w:r>
    </w:p>
    <w:p>
      <w:pPr>
        <w:autoSpaceDE w:val="0"/>
        <w:autoSpaceDN w:val="0"/>
        <w:ind w:firstLine="640" w:firstLineChars="200"/>
        <w:rPr>
          <w:rFonts w:hint="eastAsia" w:ascii="仿宋_GB2312" w:hAnsi="仿宋_GB2312" w:eastAsia="仿宋_GB2312"/>
          <w:sz w:val="32"/>
          <w:lang w:eastAsia="zh-CN"/>
        </w:rPr>
      </w:pPr>
      <w:r>
        <w:rPr>
          <w:rFonts w:hint="eastAsia" w:ascii="黑体" w:hAnsi="黑体" w:eastAsia="黑体" w:cs="黑体"/>
          <w:sz w:val="32"/>
          <w:szCs w:val="22"/>
        </w:rPr>
        <w:t>三、</w:t>
      </w:r>
      <w:r>
        <w:rPr>
          <w:rFonts w:hint="eastAsia" w:ascii="黑体" w:hAnsi="黑体" w:eastAsia="黑体" w:cs="黑体"/>
          <w:sz w:val="32"/>
          <w:szCs w:val="22"/>
          <w:lang w:val="en-US" w:eastAsia="zh-CN"/>
        </w:rPr>
        <w:t>技术经济指标</w:t>
      </w:r>
    </w:p>
    <w:p>
      <w:pPr>
        <w:autoSpaceDE w:val="0"/>
        <w:autoSpaceDN w:val="0"/>
        <w:rPr>
          <w:rFonts w:hint="eastAsia" w:ascii="仿宋_GB2312" w:hAnsi="仿宋_GB2312" w:eastAsia="仿宋_GB2312"/>
          <w:sz w:val="32"/>
          <w:vertAlign w:val="baseline"/>
          <w:lang w:eastAsia="zh-CN"/>
        </w:rPr>
      </w:pPr>
      <w:r>
        <w:rPr>
          <w:rFonts w:hint="eastAsia" w:ascii="仿宋_GB2312" w:hAnsi="仿宋_GB2312" w:eastAsia="仿宋_GB2312"/>
          <w:sz w:val="32"/>
          <w:lang w:eastAsia="zh-CN"/>
        </w:rPr>
        <w:drawing>
          <wp:inline distT="0" distB="0" distL="114300" distR="114300">
            <wp:extent cx="5053965" cy="6730365"/>
            <wp:effectExtent l="0" t="0" r="13335" b="13335"/>
            <wp:docPr id="1" name="图片 1"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jpg图片1"/>
                    <pic:cNvPicPr>
                      <a:picLocks noChangeAspect="1"/>
                    </pic:cNvPicPr>
                  </pic:nvPicPr>
                  <pic:blipFill>
                    <a:blip r:embed="rId7"/>
                    <a:srcRect/>
                    <a:stretch>
                      <a:fillRect/>
                    </a:stretch>
                  </pic:blipFill>
                  <pic:spPr>
                    <a:xfrm>
                      <a:off x="0" y="0"/>
                      <a:ext cx="5053965" cy="6730365"/>
                    </a:xfrm>
                    <a:prstGeom prst="rect">
                      <a:avLst/>
                    </a:prstGeom>
                  </pic:spPr>
                </pic:pic>
              </a:graphicData>
            </a:graphic>
          </wp:inline>
        </w:drawing>
      </w:r>
    </w:p>
    <w:p>
      <w:pPr>
        <w:autoSpaceDE w:val="0"/>
        <w:autoSpaceDN w:val="0"/>
        <w:spacing w:line="240" w:lineRule="auto"/>
        <w:jc w:val="left"/>
        <w:rPr>
          <w:rFonts w:hint="eastAsia" w:ascii="仿宋_GB2312" w:hAnsi="仿宋_GB2312" w:eastAsia="仿宋_GB2312"/>
          <w:sz w:val="32"/>
          <w:vertAlign w:val="baseline"/>
          <w:lang w:eastAsia="zh-CN"/>
        </w:rPr>
      </w:pPr>
      <w:r>
        <w:rPr>
          <w:rFonts w:hint="eastAsia" w:ascii="仿宋_GB2312" w:hAnsi="仿宋_GB2312" w:eastAsia="仿宋_GB2312"/>
          <w:sz w:val="32"/>
          <w:vertAlign w:val="baseline"/>
          <w:lang w:eastAsia="zh-CN"/>
        </w:rPr>
        <w:drawing>
          <wp:inline distT="0" distB="0" distL="114300" distR="114300">
            <wp:extent cx="5752465" cy="5868670"/>
            <wp:effectExtent l="0" t="0" r="635" b="17780"/>
            <wp:docPr id="6" name="图片 6"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图片2.jpg图片2"/>
                    <pic:cNvPicPr>
                      <a:picLocks noChangeAspect="1"/>
                    </pic:cNvPicPr>
                  </pic:nvPicPr>
                  <pic:blipFill>
                    <a:blip r:embed="rId8"/>
                    <a:srcRect/>
                    <a:stretch>
                      <a:fillRect/>
                    </a:stretch>
                  </pic:blipFill>
                  <pic:spPr>
                    <a:xfrm>
                      <a:off x="0" y="0"/>
                      <a:ext cx="5752465" cy="5868670"/>
                    </a:xfrm>
                    <a:prstGeom prst="rect">
                      <a:avLst/>
                    </a:prstGeom>
                  </pic:spPr>
                </pic:pic>
              </a:graphicData>
            </a:graphic>
          </wp:inline>
        </w:drawing>
      </w: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bookmarkStart w:id="0" w:name="_GoBack"/>
      <w:bookmarkEnd w:id="0"/>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r>
        <w:rPr>
          <w:rFonts w:hint="eastAsia" w:ascii="仿宋_GB2312" w:hAnsi="仿宋_GB2312" w:eastAsia="仿宋_GB2312"/>
          <w:sz w:val="32"/>
          <w:vertAlign w:val="baseline"/>
          <w:lang w:eastAsia="zh-CN"/>
        </w:rPr>
        <w:drawing>
          <wp:inline distT="0" distB="0" distL="114300" distR="114300">
            <wp:extent cx="5754370" cy="4483735"/>
            <wp:effectExtent l="0" t="0" r="17780" b="12065"/>
            <wp:docPr id="7" name="图片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
                    <pic:cNvPicPr>
                      <a:picLocks noChangeAspect="1"/>
                    </pic:cNvPicPr>
                  </pic:nvPicPr>
                  <pic:blipFill>
                    <a:blip r:embed="rId9"/>
                    <a:stretch>
                      <a:fillRect/>
                    </a:stretch>
                  </pic:blipFill>
                  <pic:spPr>
                    <a:xfrm>
                      <a:off x="0" y="0"/>
                      <a:ext cx="5754370" cy="4483735"/>
                    </a:xfrm>
                    <a:prstGeom prst="rect">
                      <a:avLst/>
                    </a:prstGeom>
                  </pic:spPr>
                </pic:pic>
              </a:graphicData>
            </a:graphic>
          </wp:inline>
        </w:drawing>
      </w: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p>
      <w:pPr>
        <w:autoSpaceDE w:val="0"/>
        <w:autoSpaceDN w:val="0"/>
        <w:spacing w:line="240" w:lineRule="auto"/>
        <w:jc w:val="left"/>
        <w:rPr>
          <w:rFonts w:hint="eastAsia" w:ascii="仿宋_GB2312" w:hAnsi="仿宋_GB2312" w:eastAsia="仿宋_GB2312"/>
          <w:sz w:val="32"/>
          <w:vertAlign w:val="baseline"/>
          <w:lang w:eastAsia="zh-CN"/>
        </w:rPr>
      </w:pPr>
    </w:p>
    <w:sectPr>
      <w:footerReference r:id="rId5" w:type="default"/>
      <w:pgSz w:w="11906" w:h="16838"/>
      <w:pgMar w:top="1440" w:right="1417" w:bottom="1440" w:left="141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p>
                      </w:txbxContent>
                    </wps:txbx>
                    <wps:bodyPr wrap="none" lIns="0" tIns="0" rIns="0" bIns="0" upright="1">
                      <a:spAutoFit/>
                    </wps:bodyPr>
                  </wps:wsp>
                </a:graphicData>
              </a:graphic>
            </wp:anchor>
          </w:drawing>
        </mc:Choice>
        <mc:Fallback>
          <w:pict>
            <v:shape id="文本框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79wsgBAACY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l3m&#10;7vQBakx6CJiWhjs/4M7MfkBnFj2oaPMX5RCMY2/P197KIRGRH61X63WFIYGx+YL47PF5iJDeSm9J&#10;NhoacXilp/z0HtKYOqfkas7fa2PKAI37y4GY2cMy95FjttKwHyZBe9+eUU+Pc2+owzWnxLxz2Na8&#10;IrMRZ2M/G8cQ9aFDasvCC8LtMSGJwi1XGGGnwjiwom5arrwRf95L1uMP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i+/cLIAQAAmAMAAA4AAAAAAAAAAQAgAAAAHgEAAGRycy9lMm9Eb2Mu&#10;eG1sUEsFBgAAAAAGAAYAWQEAAFg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01EE2"/>
    <w:rsid w:val="00172A27"/>
    <w:rsid w:val="002A4081"/>
    <w:rsid w:val="0032267E"/>
    <w:rsid w:val="003B254C"/>
    <w:rsid w:val="006A3E39"/>
    <w:rsid w:val="006D72D1"/>
    <w:rsid w:val="009F1443"/>
    <w:rsid w:val="00A36CE5"/>
    <w:rsid w:val="00A9315E"/>
    <w:rsid w:val="00AA02BA"/>
    <w:rsid w:val="00B37284"/>
    <w:rsid w:val="00C13643"/>
    <w:rsid w:val="00C21EC0"/>
    <w:rsid w:val="00CE44BB"/>
    <w:rsid w:val="00DD0E5F"/>
    <w:rsid w:val="00E41D3A"/>
    <w:rsid w:val="00EC0A98"/>
    <w:rsid w:val="00EE6E95"/>
    <w:rsid w:val="00F40D08"/>
    <w:rsid w:val="00F93152"/>
    <w:rsid w:val="02A02A47"/>
    <w:rsid w:val="02CB19BC"/>
    <w:rsid w:val="038041D5"/>
    <w:rsid w:val="046E26D5"/>
    <w:rsid w:val="062A6330"/>
    <w:rsid w:val="06437F6D"/>
    <w:rsid w:val="072B30B3"/>
    <w:rsid w:val="087827BE"/>
    <w:rsid w:val="0AAC352C"/>
    <w:rsid w:val="0AC452C1"/>
    <w:rsid w:val="0B7B201F"/>
    <w:rsid w:val="0EE87841"/>
    <w:rsid w:val="10055A10"/>
    <w:rsid w:val="107C50B4"/>
    <w:rsid w:val="10DF56BB"/>
    <w:rsid w:val="119E2657"/>
    <w:rsid w:val="13604F7B"/>
    <w:rsid w:val="141B3FE7"/>
    <w:rsid w:val="1437624A"/>
    <w:rsid w:val="14EB12D6"/>
    <w:rsid w:val="15FA18B5"/>
    <w:rsid w:val="18722D21"/>
    <w:rsid w:val="197569DC"/>
    <w:rsid w:val="19C9316E"/>
    <w:rsid w:val="1B561EBA"/>
    <w:rsid w:val="1BAC42BA"/>
    <w:rsid w:val="1DDA1665"/>
    <w:rsid w:val="1F4F1C6C"/>
    <w:rsid w:val="20EF3F02"/>
    <w:rsid w:val="21DD1C00"/>
    <w:rsid w:val="221F2DF2"/>
    <w:rsid w:val="22586485"/>
    <w:rsid w:val="235336AE"/>
    <w:rsid w:val="237F7090"/>
    <w:rsid w:val="23AA6C60"/>
    <w:rsid w:val="248A2913"/>
    <w:rsid w:val="25864F92"/>
    <w:rsid w:val="26216D89"/>
    <w:rsid w:val="26B42031"/>
    <w:rsid w:val="27247E19"/>
    <w:rsid w:val="29597D96"/>
    <w:rsid w:val="2B5F5164"/>
    <w:rsid w:val="2BEC0020"/>
    <w:rsid w:val="2BEC2B5B"/>
    <w:rsid w:val="2C030C25"/>
    <w:rsid w:val="2D2D2652"/>
    <w:rsid w:val="2D454FA3"/>
    <w:rsid w:val="309A15F5"/>
    <w:rsid w:val="30D969FE"/>
    <w:rsid w:val="31B31C1E"/>
    <w:rsid w:val="32BB22D3"/>
    <w:rsid w:val="33072A29"/>
    <w:rsid w:val="3310609C"/>
    <w:rsid w:val="34520944"/>
    <w:rsid w:val="36BC697E"/>
    <w:rsid w:val="37D140A9"/>
    <w:rsid w:val="3821728D"/>
    <w:rsid w:val="395F097A"/>
    <w:rsid w:val="3A7D77A0"/>
    <w:rsid w:val="3AAF01E0"/>
    <w:rsid w:val="3AFC1378"/>
    <w:rsid w:val="3C364E2B"/>
    <w:rsid w:val="3CB30ACC"/>
    <w:rsid w:val="3D2F19F2"/>
    <w:rsid w:val="3ED50537"/>
    <w:rsid w:val="3EDD4F77"/>
    <w:rsid w:val="3FE21AD7"/>
    <w:rsid w:val="41766841"/>
    <w:rsid w:val="42863417"/>
    <w:rsid w:val="45C42264"/>
    <w:rsid w:val="46C846C9"/>
    <w:rsid w:val="472D546B"/>
    <w:rsid w:val="477D31F3"/>
    <w:rsid w:val="478F6B6C"/>
    <w:rsid w:val="4928257C"/>
    <w:rsid w:val="49ED0155"/>
    <w:rsid w:val="4B234E11"/>
    <w:rsid w:val="4B75346E"/>
    <w:rsid w:val="4BA37F0C"/>
    <w:rsid w:val="4E0A4261"/>
    <w:rsid w:val="4F447298"/>
    <w:rsid w:val="4FB6349A"/>
    <w:rsid w:val="517B13D9"/>
    <w:rsid w:val="518B64D1"/>
    <w:rsid w:val="519076C3"/>
    <w:rsid w:val="51910847"/>
    <w:rsid w:val="5270074E"/>
    <w:rsid w:val="536F5EBC"/>
    <w:rsid w:val="53F05998"/>
    <w:rsid w:val="542713A5"/>
    <w:rsid w:val="54E75BD6"/>
    <w:rsid w:val="56746E85"/>
    <w:rsid w:val="57030566"/>
    <w:rsid w:val="588F48E2"/>
    <w:rsid w:val="58B65355"/>
    <w:rsid w:val="5A693056"/>
    <w:rsid w:val="5AB53D12"/>
    <w:rsid w:val="5B327C1D"/>
    <w:rsid w:val="5DFB71D9"/>
    <w:rsid w:val="5E9E19D8"/>
    <w:rsid w:val="5FB41D12"/>
    <w:rsid w:val="61DB1EDE"/>
    <w:rsid w:val="637C3011"/>
    <w:rsid w:val="63942520"/>
    <w:rsid w:val="63955031"/>
    <w:rsid w:val="63EE20D6"/>
    <w:rsid w:val="657F3E61"/>
    <w:rsid w:val="66846C52"/>
    <w:rsid w:val="66D45253"/>
    <w:rsid w:val="674B0206"/>
    <w:rsid w:val="681560A9"/>
    <w:rsid w:val="6895153A"/>
    <w:rsid w:val="6A540325"/>
    <w:rsid w:val="6A5F34BD"/>
    <w:rsid w:val="6AEF39C7"/>
    <w:rsid w:val="6C293E09"/>
    <w:rsid w:val="6C5213B3"/>
    <w:rsid w:val="6CEB75EE"/>
    <w:rsid w:val="6CFB73A4"/>
    <w:rsid w:val="6D6B54CE"/>
    <w:rsid w:val="6E0622CB"/>
    <w:rsid w:val="6E98361B"/>
    <w:rsid w:val="6FDA4BD7"/>
    <w:rsid w:val="6FF735CB"/>
    <w:rsid w:val="706A3C3D"/>
    <w:rsid w:val="706B10BC"/>
    <w:rsid w:val="70B336E7"/>
    <w:rsid w:val="71821E55"/>
    <w:rsid w:val="71A4701F"/>
    <w:rsid w:val="73131D6A"/>
    <w:rsid w:val="75E733F9"/>
    <w:rsid w:val="7628711A"/>
    <w:rsid w:val="764739BE"/>
    <w:rsid w:val="77EA75D7"/>
    <w:rsid w:val="789349AA"/>
    <w:rsid w:val="79320BF4"/>
    <w:rsid w:val="795943ED"/>
    <w:rsid w:val="7B254302"/>
    <w:rsid w:val="7E0B01EB"/>
    <w:rsid w:val="7EB27D91"/>
    <w:rsid w:val="7EFB49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pPr>
      <w:spacing w:line="240" w:lineRule="auto"/>
    </w:pPr>
    <w:rPr>
      <w:sz w:val="18"/>
      <w:szCs w:val="18"/>
    </w:rPr>
  </w:style>
  <w:style w:type="paragraph" w:styleId="3">
    <w:name w:val="footer"/>
    <w:basedOn w:val="1"/>
    <w:qFormat/>
    <w:uiPriority w:val="0"/>
    <w:pPr>
      <w:tabs>
        <w:tab w:val="center" w:pos="4153"/>
        <w:tab w:val="right" w:pos="8306"/>
      </w:tabs>
      <w:snapToGrid w:val="0"/>
      <w:spacing w:line="240" w:lineRule="auto"/>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character" w:styleId="7">
    <w:name w:val="page number"/>
    <w:basedOn w:val="6"/>
    <w:qFormat/>
    <w:uiPriority w:val="0"/>
  </w:style>
  <w:style w:type="paragraph" w:customStyle="1" w:styleId="8">
    <w:name w:val="列出段落1"/>
    <w:basedOn w:val="1"/>
    <w:qFormat/>
    <w:uiPriority w:val="0"/>
    <w:pPr>
      <w:ind w:firstLine="420" w:firstLineChars="200"/>
    </w:pPr>
  </w:style>
  <w:style w:type="paragraph" w:customStyle="1" w:styleId="9">
    <w:name w:val="p0"/>
    <w:basedOn w:val="1"/>
    <w:qFormat/>
    <w:uiPriority w:val="0"/>
  </w:style>
  <w:style w:type="character" w:customStyle="1" w:styleId="10">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750</Words>
  <Characters>150</Characters>
  <Lines>1</Lines>
  <Paragraphs>1</Paragraphs>
  <TotalTime>4</TotalTime>
  <ScaleCrop>false</ScaleCrop>
  <LinksUpToDate>false</LinksUpToDate>
  <CharactersWithSpaces>899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2017-06-05T08:56:00Z</dcterms:created>
  <dc:creator>Administrator</dc:creator>
  <cp:lastModifiedBy>Administrator</cp:lastModifiedBy>
  <cp:lastPrinted>2021-08-19T00:46:00Z</cp:lastPrinted>
  <dcterms:modified xsi:type="dcterms:W3CDTF">2021-12-23T14:09:05Z</dcterms:modified>
  <dc:title>总地块：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5D16724CF99E4C88B94EE85C9BEFB948</vt:lpwstr>
  </property>
</Properties>
</file>